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6EC" w:rsidRDefault="00A566EC" w:rsidP="00A566EC">
      <w:pPr>
        <w:ind w:left="2880" w:firstLine="720"/>
      </w:pPr>
      <w:r>
        <w:t xml:space="preserve">        </w:t>
      </w:r>
      <w:r>
        <w:rPr>
          <w:noProof/>
          <w:lang w:val="en-GB" w:eastAsia="en-GB"/>
        </w:rPr>
        <w:drawing>
          <wp:inline distT="0" distB="0" distL="0" distR="0" wp14:anchorId="78A9B3EF" wp14:editId="2168DE06">
            <wp:extent cx="11430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officeArt object" descr="Picture 1"/>
                    <pic:cNvPicPr/>
                  </pic:nvPicPr>
                  <pic:blipFill>
                    <a:blip r:embed="rId8"/>
                    <a:stretch>
                      <a:fillRect/>
                    </a:stretch>
                  </pic:blipFill>
                  <pic:spPr>
                    <a:xfrm>
                      <a:off x="0" y="0"/>
                      <a:ext cx="1143000" cy="723900"/>
                    </a:xfrm>
                    <a:prstGeom prst="rect">
                      <a:avLst/>
                    </a:prstGeom>
                    <a:ln w="12700" cap="flat">
                      <a:noFill/>
                      <a:miter lim="400000"/>
                    </a:ln>
                    <a:effectLst/>
                  </pic:spPr>
                </pic:pic>
              </a:graphicData>
            </a:graphic>
          </wp:inline>
        </w:drawing>
      </w:r>
    </w:p>
    <w:p w:rsidR="00A566EC" w:rsidRDefault="00A566EC" w:rsidP="00A566EC">
      <w:pPr>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EU Statement </w:t>
      </w:r>
    </w:p>
    <w:p w:rsidR="00AA3767" w:rsidRDefault="00AA3767" w:rsidP="00AA3767">
      <w:pPr>
        <w:ind w:firstLine="720"/>
        <w:jc w:val="center"/>
        <w:rPr>
          <w:rFonts w:ascii="Times New Roman" w:hAnsi="Times New Roman" w:cs="Times New Roman"/>
          <w:b/>
          <w:bCs/>
          <w:sz w:val="24"/>
          <w:szCs w:val="24"/>
        </w:rPr>
      </w:pPr>
      <w:r>
        <w:rPr>
          <w:rFonts w:ascii="Times New Roman" w:hAnsi="Times New Roman" w:cs="Times New Roman"/>
          <w:b/>
          <w:bCs/>
          <w:sz w:val="24"/>
          <w:szCs w:val="24"/>
        </w:rPr>
        <w:t>Transparency and Reporting</w:t>
      </w:r>
    </w:p>
    <w:p w:rsidR="00A566EC" w:rsidRDefault="00A566EC" w:rsidP="00A566EC">
      <w:pPr>
        <w:ind w:firstLine="720"/>
        <w:jc w:val="center"/>
        <w:rPr>
          <w:rFonts w:ascii="Times New Roman" w:hAnsi="Times New Roman" w:cs="Times New Roman"/>
          <w:b/>
          <w:bCs/>
          <w:sz w:val="24"/>
          <w:szCs w:val="24"/>
        </w:rPr>
      </w:pPr>
      <w:r>
        <w:rPr>
          <w:rFonts w:ascii="Times New Roman" w:hAnsi="Times New Roman" w:cs="Times New Roman"/>
          <w:b/>
          <w:bCs/>
          <w:sz w:val="24"/>
          <w:szCs w:val="24"/>
        </w:rPr>
        <w:t>Arms Trade Treaty</w:t>
      </w:r>
    </w:p>
    <w:p w:rsidR="00A566EC" w:rsidRDefault="00EF4F65" w:rsidP="00A566EC">
      <w:pPr>
        <w:ind w:firstLine="720"/>
        <w:jc w:val="center"/>
        <w:rPr>
          <w:rFonts w:ascii="Times New Roman" w:hAnsi="Times New Roman" w:cs="Times New Roman"/>
          <w:b/>
          <w:bCs/>
          <w:sz w:val="24"/>
          <w:szCs w:val="24"/>
        </w:rPr>
      </w:pPr>
      <w:r>
        <w:rPr>
          <w:rFonts w:ascii="Times New Roman" w:hAnsi="Times New Roman" w:cs="Times New Roman"/>
          <w:b/>
          <w:bCs/>
          <w:sz w:val="24"/>
          <w:szCs w:val="24"/>
        </w:rPr>
        <w:t>Tenth</w:t>
      </w:r>
      <w:r w:rsidR="00A566EC">
        <w:rPr>
          <w:rFonts w:ascii="Times New Roman" w:hAnsi="Times New Roman" w:cs="Times New Roman"/>
          <w:b/>
          <w:bCs/>
          <w:sz w:val="24"/>
          <w:szCs w:val="24"/>
        </w:rPr>
        <w:t xml:space="preserve"> Conference of State</w:t>
      </w:r>
      <w:r w:rsidR="00237607">
        <w:rPr>
          <w:rFonts w:ascii="Times New Roman" w:hAnsi="Times New Roman" w:cs="Times New Roman"/>
          <w:b/>
          <w:bCs/>
          <w:sz w:val="24"/>
          <w:szCs w:val="24"/>
        </w:rPr>
        <w:t>s</w:t>
      </w:r>
      <w:r w:rsidR="00A566EC">
        <w:rPr>
          <w:rFonts w:ascii="Times New Roman" w:hAnsi="Times New Roman" w:cs="Times New Roman"/>
          <w:b/>
          <w:bCs/>
          <w:sz w:val="24"/>
          <w:szCs w:val="24"/>
        </w:rPr>
        <w:t xml:space="preserve"> Parties</w:t>
      </w:r>
    </w:p>
    <w:p w:rsidR="00A566EC" w:rsidRDefault="00EF4F65" w:rsidP="00A566EC">
      <w:pPr>
        <w:ind w:firstLine="720"/>
        <w:jc w:val="center"/>
        <w:rPr>
          <w:rFonts w:ascii="Times New Roman" w:hAnsi="Times New Roman" w:cs="Times New Roman"/>
          <w:b/>
          <w:bCs/>
          <w:sz w:val="24"/>
          <w:szCs w:val="24"/>
        </w:rPr>
      </w:pPr>
      <w:r>
        <w:rPr>
          <w:rFonts w:ascii="Times New Roman" w:hAnsi="Times New Roman" w:cs="Times New Roman"/>
          <w:b/>
          <w:bCs/>
          <w:sz w:val="24"/>
          <w:szCs w:val="24"/>
        </w:rPr>
        <w:t>Geneva, 19-23</w:t>
      </w:r>
      <w:r w:rsidR="00A566EC">
        <w:rPr>
          <w:rFonts w:ascii="Times New Roman" w:hAnsi="Times New Roman" w:cs="Times New Roman"/>
          <w:b/>
          <w:bCs/>
          <w:sz w:val="24"/>
          <w:szCs w:val="24"/>
        </w:rPr>
        <w:t xml:space="preserve"> </w:t>
      </w:r>
      <w:r w:rsidR="00A566EC" w:rsidRPr="00841C37">
        <w:rPr>
          <w:rFonts w:ascii="Times New Roman" w:hAnsi="Times New Roman" w:cs="Times New Roman"/>
          <w:b/>
          <w:bCs/>
          <w:sz w:val="24"/>
          <w:szCs w:val="24"/>
        </w:rPr>
        <w:t>August 202</w:t>
      </w:r>
      <w:r w:rsidR="00067C0C">
        <w:rPr>
          <w:rFonts w:ascii="Times New Roman" w:hAnsi="Times New Roman" w:cs="Times New Roman"/>
          <w:b/>
          <w:bCs/>
          <w:sz w:val="24"/>
          <w:szCs w:val="24"/>
        </w:rPr>
        <w:t>4</w:t>
      </w:r>
    </w:p>
    <w:p w:rsidR="0001655D" w:rsidRPr="00E21EFC" w:rsidRDefault="0001655D" w:rsidP="00E21EFC">
      <w:pPr>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1655D">
        <w:rPr>
          <w:rFonts w:ascii="Times New Roman" w:hAnsi="Times New Roman" w:cs="Times New Roman"/>
          <w:i/>
          <w:sz w:val="24"/>
          <w:szCs w:val="24"/>
        </w:rPr>
        <w:tab/>
        <w:t xml:space="preserve">     </w:t>
      </w:r>
    </w:p>
    <w:p w:rsidR="00B71B7F" w:rsidRDefault="00FC17E6" w:rsidP="00B71B7F">
      <w:pPr>
        <w:spacing w:after="120" w:line="240" w:lineRule="auto"/>
        <w:jc w:val="both"/>
        <w:rPr>
          <w:rFonts w:ascii="Times New Roman" w:hAnsi="Times New Roman" w:cs="Times New Roman"/>
          <w:sz w:val="24"/>
          <w:szCs w:val="24"/>
        </w:rPr>
      </w:pPr>
      <w:r w:rsidRPr="00047C02">
        <w:rPr>
          <w:rFonts w:ascii="Times New Roman" w:hAnsi="Times New Roman" w:cs="Times New Roman"/>
          <w:sz w:val="24"/>
          <w:szCs w:val="24"/>
        </w:rPr>
        <w:t>M</w:t>
      </w:r>
      <w:r w:rsidR="00EF4F65">
        <w:rPr>
          <w:rFonts w:ascii="Times New Roman" w:hAnsi="Times New Roman" w:cs="Times New Roman"/>
          <w:sz w:val="24"/>
          <w:szCs w:val="24"/>
        </w:rPr>
        <w:t>r.</w:t>
      </w:r>
      <w:r w:rsidR="00A566EC" w:rsidRPr="00047C02">
        <w:rPr>
          <w:rFonts w:ascii="Times New Roman" w:hAnsi="Times New Roman" w:cs="Times New Roman"/>
          <w:sz w:val="24"/>
          <w:szCs w:val="24"/>
        </w:rPr>
        <w:t xml:space="preserve"> President,</w:t>
      </w:r>
    </w:p>
    <w:p w:rsidR="00A566EC" w:rsidRPr="007F42BA" w:rsidRDefault="00A566EC" w:rsidP="00B71B7F">
      <w:pPr>
        <w:spacing w:after="120" w:line="240" w:lineRule="auto"/>
        <w:jc w:val="both"/>
        <w:rPr>
          <w:rFonts w:ascii="Times New Roman" w:hAnsi="Times New Roman" w:cs="Times New Roman"/>
          <w:sz w:val="24"/>
          <w:szCs w:val="24"/>
        </w:rPr>
      </w:pPr>
      <w:r w:rsidRPr="007F42BA">
        <w:rPr>
          <w:rFonts w:ascii="Times New Roman" w:hAnsi="Times New Roman" w:cs="Times New Roman"/>
          <w:sz w:val="24"/>
          <w:szCs w:val="24"/>
        </w:rPr>
        <w:t xml:space="preserve">I have the honour to speak on behalf of the European Union and its Member States. </w:t>
      </w:r>
    </w:p>
    <w:p w:rsidR="00EF4F65" w:rsidRPr="00D81F54" w:rsidRDefault="00875589" w:rsidP="00E21EFC">
      <w:pPr>
        <w:spacing w:after="120" w:line="240" w:lineRule="auto"/>
        <w:jc w:val="both"/>
        <w:rPr>
          <w:rFonts w:ascii="Times New Roman" w:hAnsi="Times New Roman" w:cs="Times New Roman"/>
          <w:i/>
          <w:sz w:val="24"/>
          <w:szCs w:val="24"/>
        </w:rPr>
      </w:pPr>
      <w:r w:rsidRPr="00247E68">
        <w:rPr>
          <w:rStyle w:val="Strong"/>
          <w:rFonts w:ascii="Times New Roman" w:hAnsi="Times New Roman" w:cs="Times New Roman"/>
          <w:b w:val="0"/>
          <w:sz w:val="24"/>
          <w:szCs w:val="24"/>
          <w:lang w:val="en-GB"/>
        </w:rPr>
        <w:t xml:space="preserve">The candidate countries </w:t>
      </w:r>
      <w:r w:rsidRPr="004F5767">
        <w:rPr>
          <w:rStyle w:val="Strong"/>
          <w:rFonts w:ascii="Times New Roman" w:hAnsi="Times New Roman" w:cs="Times New Roman"/>
          <w:b w:val="0"/>
          <w:sz w:val="24"/>
          <w:szCs w:val="24"/>
          <w:lang w:val="en-GB"/>
        </w:rPr>
        <w:t>North Macedonia, Montenegro,</w:t>
      </w:r>
      <w:r w:rsidRPr="00922558">
        <w:rPr>
          <w:rStyle w:val="Strong"/>
          <w:rFonts w:ascii="Times New Roman" w:hAnsi="Times New Roman" w:cs="Times New Roman"/>
          <w:sz w:val="24"/>
          <w:szCs w:val="24"/>
          <w:lang w:val="en-GB"/>
        </w:rPr>
        <w:t xml:space="preserve"> </w:t>
      </w:r>
      <w:r w:rsidRPr="004F5767">
        <w:rPr>
          <w:rStyle w:val="Strong"/>
          <w:rFonts w:ascii="Times New Roman" w:hAnsi="Times New Roman" w:cs="Times New Roman"/>
          <w:b w:val="0"/>
          <w:sz w:val="24"/>
          <w:szCs w:val="24"/>
          <w:lang w:val="en-GB"/>
        </w:rPr>
        <w:t>Albania</w:t>
      </w:r>
      <w:r w:rsidR="00E33EFD" w:rsidRPr="00E33EFD">
        <w:rPr>
          <w:rStyle w:val="FootnoteReference"/>
          <w:rFonts w:ascii="Times New Roman" w:hAnsi="Times New Roman" w:cs="Times New Roman"/>
          <w:bCs/>
          <w:sz w:val="24"/>
          <w:szCs w:val="24"/>
          <w:lang w:val="en-GB"/>
        </w:rPr>
        <w:footnoteReference w:id="1"/>
      </w:r>
      <w:r w:rsidRPr="004F5767">
        <w:rPr>
          <w:rStyle w:val="Strong"/>
          <w:rFonts w:ascii="Times New Roman" w:hAnsi="Times New Roman" w:cs="Times New Roman"/>
          <w:b w:val="0"/>
          <w:sz w:val="24"/>
          <w:szCs w:val="24"/>
          <w:lang w:val="en-GB"/>
        </w:rPr>
        <w:t xml:space="preserve">, </w:t>
      </w:r>
      <w:r w:rsidR="00E33EFD">
        <w:rPr>
          <w:rStyle w:val="Strong"/>
          <w:rFonts w:ascii="Times New Roman" w:hAnsi="Times New Roman" w:cs="Times New Roman"/>
          <w:b w:val="0"/>
          <w:sz w:val="24"/>
          <w:szCs w:val="24"/>
          <w:lang w:val="en-GB"/>
        </w:rPr>
        <w:t>Republic of Moldova</w:t>
      </w:r>
      <w:r w:rsidRPr="00247E68">
        <w:rPr>
          <w:rStyle w:val="Strong"/>
          <w:rFonts w:ascii="Times New Roman" w:hAnsi="Times New Roman" w:cs="Times New Roman"/>
          <w:b w:val="0"/>
          <w:color w:val="FF0000"/>
          <w:sz w:val="24"/>
          <w:szCs w:val="24"/>
          <w:lang w:val="en-GB"/>
        </w:rPr>
        <w:t xml:space="preserve"> </w:t>
      </w:r>
      <w:r w:rsidRPr="004F5767">
        <w:rPr>
          <w:rStyle w:val="Strong"/>
          <w:rFonts w:ascii="Times New Roman" w:hAnsi="Times New Roman" w:cs="Times New Roman"/>
          <w:b w:val="0"/>
          <w:sz w:val="24"/>
          <w:szCs w:val="24"/>
          <w:lang w:val="en-GB"/>
        </w:rPr>
        <w:t xml:space="preserve">and Georgia, </w:t>
      </w:r>
      <w:r w:rsidR="00682E33" w:rsidRPr="004F5767">
        <w:rPr>
          <w:rStyle w:val="Strong"/>
          <w:rFonts w:ascii="Times New Roman" w:hAnsi="Times New Roman" w:cs="Times New Roman"/>
          <w:b w:val="0"/>
          <w:sz w:val="24"/>
          <w:szCs w:val="24"/>
          <w:lang w:val="en-GB"/>
        </w:rPr>
        <w:t>as well as the EFTA country</w:t>
      </w:r>
      <w:r w:rsidRPr="004F5767">
        <w:rPr>
          <w:rStyle w:val="Strong"/>
          <w:rFonts w:ascii="Times New Roman" w:hAnsi="Times New Roman" w:cs="Times New Roman"/>
          <w:b w:val="0"/>
          <w:sz w:val="24"/>
          <w:szCs w:val="24"/>
          <w:lang w:val="en-GB"/>
        </w:rPr>
        <w:t xml:space="preserve"> </w:t>
      </w:r>
      <w:r w:rsidR="00682E33" w:rsidRPr="004F5767">
        <w:rPr>
          <w:rStyle w:val="Strong"/>
          <w:rFonts w:ascii="Times New Roman" w:hAnsi="Times New Roman" w:cs="Times New Roman"/>
          <w:b w:val="0"/>
          <w:sz w:val="24"/>
          <w:szCs w:val="24"/>
          <w:lang w:val="en-GB"/>
        </w:rPr>
        <w:t>Norway, member</w:t>
      </w:r>
      <w:r w:rsidRPr="004F5767">
        <w:rPr>
          <w:rStyle w:val="Strong"/>
          <w:rFonts w:ascii="Times New Roman" w:hAnsi="Times New Roman" w:cs="Times New Roman"/>
          <w:b w:val="0"/>
          <w:sz w:val="24"/>
          <w:szCs w:val="24"/>
          <w:lang w:val="en-GB"/>
        </w:rPr>
        <w:t xml:space="preserve"> of the European Economic Area,</w:t>
      </w:r>
      <w:r w:rsidRPr="00922558">
        <w:rPr>
          <w:rStyle w:val="Strong"/>
          <w:rFonts w:ascii="Times New Roman" w:hAnsi="Times New Roman" w:cs="Times New Roman"/>
          <w:b w:val="0"/>
          <w:sz w:val="24"/>
          <w:szCs w:val="24"/>
          <w:lang w:val="en-GB"/>
        </w:rPr>
        <w:t xml:space="preserve"> </w:t>
      </w:r>
      <w:r w:rsidRPr="00247E68">
        <w:rPr>
          <w:rStyle w:val="Strong"/>
          <w:rFonts w:ascii="Times New Roman" w:hAnsi="Times New Roman" w:cs="Times New Roman"/>
          <w:b w:val="0"/>
          <w:bCs w:val="0"/>
          <w:sz w:val="24"/>
          <w:szCs w:val="24"/>
          <w:lang w:val="en-GB"/>
        </w:rPr>
        <w:t>align themselves with this statement</w:t>
      </w:r>
      <w:r w:rsidRPr="00247E68">
        <w:rPr>
          <w:rStyle w:val="Strong"/>
          <w:rFonts w:ascii="Times New Roman" w:hAnsi="Times New Roman" w:cs="Times New Roman"/>
          <w:b w:val="0"/>
          <w:sz w:val="24"/>
          <w:szCs w:val="24"/>
          <w:lang w:val="en-GB"/>
        </w:rPr>
        <w:t>.</w:t>
      </w:r>
    </w:p>
    <w:p w:rsidR="007F42BA" w:rsidRPr="007F42BA" w:rsidRDefault="00EF4F65" w:rsidP="00B71B7F">
      <w:pPr>
        <w:autoSpaceDE w:val="0"/>
        <w:autoSpaceDN w:val="0"/>
        <w:adjustRightInd w:val="0"/>
        <w:spacing w:after="120" w:line="240" w:lineRule="auto"/>
        <w:jc w:val="both"/>
        <w:rPr>
          <w:rFonts w:ascii="Times New Roman" w:hAnsi="Times New Roman" w:cs="Times New Roman"/>
          <w:color w:val="000000"/>
          <w:sz w:val="24"/>
          <w:szCs w:val="24"/>
        </w:rPr>
      </w:pPr>
      <w:r w:rsidRPr="00B71B7F">
        <w:rPr>
          <w:rFonts w:ascii="Times New Roman" w:hAnsi="Times New Roman" w:cs="Times New Roman"/>
          <w:color w:val="000000"/>
          <w:sz w:val="24"/>
          <w:szCs w:val="24"/>
        </w:rPr>
        <w:t xml:space="preserve">Further to the ATT Secretariat presentation at the Working Group meeting, the </w:t>
      </w:r>
      <w:r w:rsidR="00730FD7" w:rsidRPr="00B71B7F">
        <w:rPr>
          <w:rFonts w:ascii="Times New Roman" w:hAnsi="Times New Roman" w:cs="Times New Roman"/>
          <w:color w:val="000000"/>
          <w:sz w:val="24"/>
          <w:szCs w:val="24"/>
        </w:rPr>
        <w:t>EU expresses its deep concern</w:t>
      </w:r>
      <w:r w:rsidRPr="00B71B7F">
        <w:rPr>
          <w:rFonts w:ascii="Times New Roman" w:hAnsi="Times New Roman" w:cs="Times New Roman"/>
          <w:color w:val="000000"/>
          <w:sz w:val="24"/>
          <w:szCs w:val="24"/>
        </w:rPr>
        <w:t xml:space="preserve"> for the low rate of </w:t>
      </w:r>
      <w:r w:rsidR="008478F8" w:rsidRPr="00B71B7F">
        <w:rPr>
          <w:rFonts w:ascii="Times New Roman" w:hAnsi="Times New Roman" w:cs="Times New Roman"/>
          <w:color w:val="000000"/>
          <w:sz w:val="24"/>
          <w:szCs w:val="24"/>
        </w:rPr>
        <w:t xml:space="preserve">annual </w:t>
      </w:r>
      <w:r w:rsidRPr="00B71B7F">
        <w:rPr>
          <w:rFonts w:ascii="Times New Roman" w:hAnsi="Times New Roman" w:cs="Times New Roman"/>
          <w:color w:val="000000"/>
          <w:sz w:val="24"/>
          <w:szCs w:val="24"/>
        </w:rPr>
        <w:t>reportin</w:t>
      </w:r>
      <w:r w:rsidR="008478F8" w:rsidRPr="00B71B7F">
        <w:rPr>
          <w:rFonts w:ascii="Times New Roman" w:hAnsi="Times New Roman" w:cs="Times New Roman"/>
          <w:color w:val="000000"/>
          <w:sz w:val="24"/>
          <w:szCs w:val="24"/>
        </w:rPr>
        <w:t xml:space="preserve">g, which is the lowest recorded, following a steady decline </w:t>
      </w:r>
      <w:r w:rsidR="004F20EC" w:rsidRPr="00B71B7F">
        <w:rPr>
          <w:rFonts w:ascii="Times New Roman" w:hAnsi="Times New Roman" w:cs="Times New Roman"/>
          <w:color w:val="000000"/>
          <w:sz w:val="24"/>
          <w:szCs w:val="24"/>
        </w:rPr>
        <w:t xml:space="preserve">in the </w:t>
      </w:r>
      <w:r w:rsidR="008478F8" w:rsidRPr="00B71B7F">
        <w:rPr>
          <w:rFonts w:ascii="Times New Roman" w:hAnsi="Times New Roman" w:cs="Times New Roman"/>
          <w:color w:val="000000"/>
          <w:sz w:val="24"/>
          <w:szCs w:val="24"/>
        </w:rPr>
        <w:t xml:space="preserve"> reporting rate since the ATT entered into force. </w:t>
      </w:r>
      <w:r w:rsidR="00067C0C" w:rsidRPr="00B71B7F">
        <w:rPr>
          <w:rFonts w:ascii="Times New Roman" w:hAnsi="Times New Roman" w:cs="Times New Roman"/>
          <w:color w:val="000000"/>
          <w:sz w:val="24"/>
          <w:szCs w:val="24"/>
        </w:rPr>
        <w:t xml:space="preserve">Almost one fifth of States Parties </w:t>
      </w:r>
      <w:r w:rsidR="004F20EC" w:rsidRPr="00B71B7F">
        <w:rPr>
          <w:rFonts w:ascii="Times New Roman" w:hAnsi="Times New Roman" w:cs="Times New Roman"/>
          <w:color w:val="000000"/>
          <w:sz w:val="24"/>
          <w:szCs w:val="24"/>
        </w:rPr>
        <w:t xml:space="preserve">have </w:t>
      </w:r>
      <w:r w:rsidR="00067C0C" w:rsidRPr="00B71B7F">
        <w:rPr>
          <w:rFonts w:ascii="Times New Roman" w:hAnsi="Times New Roman" w:cs="Times New Roman"/>
          <w:color w:val="000000"/>
          <w:sz w:val="24"/>
          <w:szCs w:val="24"/>
        </w:rPr>
        <w:t xml:space="preserve">never reported. </w:t>
      </w:r>
      <w:r w:rsidR="008478F8" w:rsidRPr="00B71B7F">
        <w:rPr>
          <w:rFonts w:ascii="Times New Roman" w:hAnsi="Times New Roman" w:cs="Times New Roman"/>
          <w:color w:val="000000"/>
          <w:sz w:val="24"/>
          <w:szCs w:val="24"/>
        </w:rPr>
        <w:t xml:space="preserve">Such </w:t>
      </w:r>
      <w:r w:rsidR="004F20EC" w:rsidRPr="00B71B7F">
        <w:rPr>
          <w:rFonts w:ascii="Times New Roman" w:hAnsi="Times New Roman" w:cs="Times New Roman"/>
          <w:color w:val="000000"/>
          <w:sz w:val="24"/>
          <w:szCs w:val="24"/>
        </w:rPr>
        <w:t xml:space="preserve">a </w:t>
      </w:r>
      <w:r w:rsidR="008478F8" w:rsidRPr="00B71B7F">
        <w:rPr>
          <w:rFonts w:ascii="Times New Roman" w:hAnsi="Times New Roman" w:cs="Times New Roman"/>
          <w:color w:val="000000"/>
          <w:sz w:val="24"/>
          <w:szCs w:val="24"/>
        </w:rPr>
        <w:t xml:space="preserve">trend </w:t>
      </w:r>
      <w:r w:rsidR="00067C0C" w:rsidRPr="00B71B7F">
        <w:rPr>
          <w:rFonts w:ascii="Times New Roman" w:hAnsi="Times New Roman" w:cs="Times New Roman"/>
          <w:color w:val="000000"/>
          <w:sz w:val="24"/>
          <w:szCs w:val="24"/>
        </w:rPr>
        <w:t>and figures indicate</w:t>
      </w:r>
      <w:r w:rsidR="008478F8" w:rsidRPr="00B71B7F">
        <w:rPr>
          <w:rFonts w:ascii="Times New Roman" w:hAnsi="Times New Roman" w:cs="Times New Roman"/>
          <w:color w:val="000000"/>
          <w:sz w:val="24"/>
          <w:szCs w:val="24"/>
        </w:rPr>
        <w:t xml:space="preserve"> that fewer and fewer states, for various reasons, remain committed to </w:t>
      </w:r>
      <w:r w:rsidR="004F5767">
        <w:rPr>
          <w:rFonts w:ascii="Times New Roman" w:hAnsi="Times New Roman" w:cs="Times New Roman"/>
          <w:color w:val="000000"/>
          <w:sz w:val="24"/>
          <w:szCs w:val="24"/>
        </w:rPr>
        <w:t>this</w:t>
      </w:r>
      <w:r w:rsidR="008478F8" w:rsidRPr="00B71B7F">
        <w:rPr>
          <w:rFonts w:ascii="Times New Roman" w:hAnsi="Times New Roman" w:cs="Times New Roman"/>
          <w:color w:val="000000"/>
          <w:sz w:val="24"/>
          <w:szCs w:val="24"/>
        </w:rPr>
        <w:t xml:space="preserve"> fundamental obligation to show their compliance with the ATT. </w:t>
      </w:r>
    </w:p>
    <w:p w:rsidR="007F42BA" w:rsidRPr="00B71B7F" w:rsidRDefault="00EB00C1" w:rsidP="00B71B7F">
      <w:pPr>
        <w:autoSpaceDE w:val="0"/>
        <w:autoSpaceDN w:val="0"/>
        <w:adjustRightInd w:val="0"/>
        <w:spacing w:after="120" w:line="240" w:lineRule="auto"/>
        <w:jc w:val="both"/>
        <w:rPr>
          <w:rFonts w:ascii="Times New Roman" w:hAnsi="Times New Roman" w:cs="Times New Roman"/>
          <w:sz w:val="24"/>
          <w:szCs w:val="24"/>
        </w:rPr>
      </w:pPr>
      <w:r w:rsidRPr="00B71B7F">
        <w:rPr>
          <w:rFonts w:ascii="Times New Roman" w:hAnsi="Times New Roman" w:cs="Times New Roman"/>
          <w:color w:val="000000"/>
          <w:sz w:val="24"/>
          <w:szCs w:val="24"/>
        </w:rPr>
        <w:t>In this context, w</w:t>
      </w:r>
      <w:r w:rsidR="00EF4F65" w:rsidRPr="00B71B7F">
        <w:rPr>
          <w:rFonts w:ascii="Times New Roman" w:hAnsi="Times New Roman" w:cs="Times New Roman"/>
          <w:color w:val="000000"/>
          <w:sz w:val="24"/>
          <w:szCs w:val="24"/>
        </w:rPr>
        <w:t xml:space="preserve">e reiterate the call upon </w:t>
      </w:r>
      <w:r w:rsidR="00EF4F65" w:rsidRPr="00B71B7F">
        <w:rPr>
          <w:rFonts w:ascii="Times New Roman" w:hAnsi="Times New Roman" w:cs="Times New Roman"/>
          <w:sz w:val="24"/>
          <w:szCs w:val="24"/>
        </w:rPr>
        <w:t xml:space="preserve">all </w:t>
      </w:r>
      <w:r w:rsidRPr="00B71B7F">
        <w:rPr>
          <w:rFonts w:ascii="Times New Roman" w:hAnsi="Times New Roman" w:cs="Times New Roman"/>
          <w:sz w:val="24"/>
          <w:szCs w:val="24"/>
        </w:rPr>
        <w:t xml:space="preserve">concerned </w:t>
      </w:r>
      <w:r w:rsidR="00EF4F65" w:rsidRPr="00B71B7F">
        <w:rPr>
          <w:rFonts w:ascii="Times New Roman" w:hAnsi="Times New Roman" w:cs="Times New Roman"/>
          <w:sz w:val="24"/>
          <w:szCs w:val="24"/>
        </w:rPr>
        <w:t xml:space="preserve">States to share, at the ATT forum or bilaterally, the details of their actual challenges and to the extent practicable, internal issues that hamper reporting, </w:t>
      </w:r>
      <w:r w:rsidR="00120C7A" w:rsidRPr="00B71B7F">
        <w:rPr>
          <w:rFonts w:ascii="Times New Roman" w:hAnsi="Times New Roman" w:cs="Times New Roman"/>
          <w:sz w:val="24"/>
          <w:szCs w:val="24"/>
        </w:rPr>
        <w:t xml:space="preserve">so </w:t>
      </w:r>
      <w:r w:rsidR="00EF4F65" w:rsidRPr="00B71B7F">
        <w:rPr>
          <w:rFonts w:ascii="Times New Roman" w:hAnsi="Times New Roman" w:cs="Times New Roman"/>
          <w:sz w:val="24"/>
          <w:szCs w:val="24"/>
        </w:rPr>
        <w:t>that other stakeholders can adjust their assistance to each State delivering on their legal obligations under the</w:t>
      </w:r>
      <w:r w:rsidR="00EF4F65" w:rsidRPr="00B71B7F">
        <w:rPr>
          <w:rFonts w:ascii="Times New Roman" w:hAnsi="Times New Roman" w:cs="Times New Roman"/>
          <w:b/>
          <w:sz w:val="24"/>
          <w:szCs w:val="24"/>
        </w:rPr>
        <w:t xml:space="preserve"> </w:t>
      </w:r>
      <w:r w:rsidR="00EF4F65" w:rsidRPr="00B71B7F">
        <w:rPr>
          <w:rFonts w:ascii="Times New Roman" w:hAnsi="Times New Roman" w:cs="Times New Roman"/>
          <w:sz w:val="24"/>
          <w:szCs w:val="24"/>
        </w:rPr>
        <w:t>ATT. To that end, we also encourage the use of the ATT Needs and Resources Matching Database. We support the adoption by CSP10 of the list of practical implementation questions.</w:t>
      </w:r>
      <w:r w:rsidR="00155535" w:rsidRPr="00B71B7F">
        <w:rPr>
          <w:rFonts w:ascii="Times New Roman" w:hAnsi="Times New Roman" w:cs="Times New Roman"/>
          <w:sz w:val="24"/>
          <w:szCs w:val="24"/>
        </w:rPr>
        <w:t xml:space="preserve"> </w:t>
      </w:r>
    </w:p>
    <w:p w:rsidR="007F42BA" w:rsidRPr="007F42BA" w:rsidRDefault="00EF4F65" w:rsidP="00B71B7F">
      <w:pPr>
        <w:autoSpaceDE w:val="0"/>
        <w:autoSpaceDN w:val="0"/>
        <w:adjustRightInd w:val="0"/>
        <w:spacing w:after="120" w:line="240" w:lineRule="auto"/>
        <w:jc w:val="both"/>
        <w:rPr>
          <w:rFonts w:ascii="Times New Roman" w:hAnsi="Times New Roman" w:cs="Times New Roman"/>
          <w:color w:val="000000"/>
          <w:sz w:val="24"/>
          <w:szCs w:val="24"/>
        </w:rPr>
      </w:pPr>
      <w:r w:rsidRPr="00B71B7F">
        <w:rPr>
          <w:rFonts w:ascii="Times New Roman" w:hAnsi="Times New Roman" w:cs="Times New Roman"/>
          <w:sz w:val="24"/>
          <w:szCs w:val="24"/>
        </w:rPr>
        <w:t xml:space="preserve">The EU is open to learning about </w:t>
      </w:r>
      <w:r w:rsidR="004F20EC" w:rsidRPr="00B71B7F">
        <w:rPr>
          <w:rFonts w:ascii="Times New Roman" w:hAnsi="Times New Roman" w:cs="Times New Roman"/>
          <w:sz w:val="24"/>
          <w:szCs w:val="24"/>
        </w:rPr>
        <w:t xml:space="preserve">the </w:t>
      </w:r>
      <w:r w:rsidRPr="00B71B7F">
        <w:rPr>
          <w:rFonts w:ascii="Times New Roman" w:hAnsi="Times New Roman" w:cs="Times New Roman"/>
          <w:sz w:val="24"/>
          <w:szCs w:val="24"/>
        </w:rPr>
        <w:t xml:space="preserve">specific needs of States facing reporting challenges to consider them in future outreach planning. The EU reiterates its </w:t>
      </w:r>
      <w:r w:rsidRPr="00B71B7F">
        <w:rPr>
          <w:rFonts w:ascii="Times New Roman" w:hAnsi="Times New Roman" w:cs="Times New Roman"/>
          <w:color w:val="000000"/>
          <w:sz w:val="24"/>
          <w:szCs w:val="24"/>
        </w:rPr>
        <w:t>own commitment to supporting the ATT Secretariat in capacity building for States Parties in reporting, under</w:t>
      </w:r>
      <w:r w:rsidR="00EB00C1" w:rsidRPr="00B71B7F">
        <w:rPr>
          <w:rFonts w:ascii="Times New Roman" w:hAnsi="Times New Roman" w:cs="Times New Roman"/>
          <w:color w:val="000000"/>
          <w:sz w:val="24"/>
          <w:szCs w:val="24"/>
        </w:rPr>
        <w:t xml:space="preserve"> a dedicated funding instrument. In October 2023, the EU adopted the second phase of funding, to support the ATT Secretariat over the next two-year period. </w:t>
      </w:r>
    </w:p>
    <w:p w:rsidR="007F42BA" w:rsidRPr="007F42BA" w:rsidRDefault="00EB00C1" w:rsidP="00B71B7F">
      <w:pPr>
        <w:spacing w:after="120" w:line="240" w:lineRule="auto"/>
        <w:jc w:val="both"/>
        <w:rPr>
          <w:rFonts w:ascii="Times New Roman" w:hAnsi="Times New Roman" w:cs="Times New Roman"/>
          <w:sz w:val="24"/>
          <w:szCs w:val="24"/>
        </w:rPr>
      </w:pPr>
      <w:r w:rsidRPr="00B71B7F">
        <w:rPr>
          <w:rFonts w:ascii="Times New Roman" w:hAnsi="Times New Roman" w:cs="Times New Roman"/>
          <w:sz w:val="24"/>
          <w:szCs w:val="24"/>
          <w:lang w:val="en-US"/>
        </w:rPr>
        <w:t xml:space="preserve">The EU remains a steadfast supporter of cooperation, responsibility, and transparency in </w:t>
      </w:r>
      <w:r w:rsidR="004F20EC" w:rsidRPr="00B71B7F">
        <w:rPr>
          <w:rFonts w:ascii="Times New Roman" w:hAnsi="Times New Roman" w:cs="Times New Roman"/>
          <w:sz w:val="24"/>
          <w:szCs w:val="24"/>
          <w:lang w:val="en-US"/>
        </w:rPr>
        <w:t xml:space="preserve">the </w:t>
      </w:r>
      <w:r w:rsidRPr="00B71B7F">
        <w:rPr>
          <w:rFonts w:ascii="Times New Roman" w:hAnsi="Times New Roman" w:cs="Times New Roman"/>
          <w:sz w:val="24"/>
          <w:szCs w:val="24"/>
          <w:lang w:val="en-US"/>
        </w:rPr>
        <w:t xml:space="preserve">international arms trade, as underlying principles of the ATT. Since reporting on arms exports and imports is one of </w:t>
      </w:r>
      <w:r w:rsidR="004F20EC" w:rsidRPr="00B71B7F">
        <w:rPr>
          <w:rFonts w:ascii="Times New Roman" w:hAnsi="Times New Roman" w:cs="Times New Roman"/>
          <w:sz w:val="24"/>
          <w:szCs w:val="24"/>
          <w:lang w:val="en-US"/>
        </w:rPr>
        <w:t xml:space="preserve">the </w:t>
      </w:r>
      <w:r w:rsidRPr="00B71B7F">
        <w:rPr>
          <w:rFonts w:ascii="Times New Roman" w:hAnsi="Times New Roman" w:cs="Times New Roman"/>
          <w:sz w:val="24"/>
          <w:szCs w:val="24"/>
          <w:lang w:val="en-US"/>
        </w:rPr>
        <w:t xml:space="preserve">cornerstone obligations of the ATT, the EU reiterates its call </w:t>
      </w:r>
      <w:r w:rsidRPr="00B71B7F">
        <w:rPr>
          <w:rFonts w:ascii="Times New Roman" w:hAnsi="Times New Roman" w:cs="Times New Roman"/>
          <w:sz w:val="24"/>
          <w:szCs w:val="24"/>
        </w:rPr>
        <w:t xml:space="preserve">on all States Parties to fulfil their reporting obligations not only in a timely but also transparent manner. We encourage all States Parties to report publicly in the interest of enhancing the relevance of ATT reports, and facilitating effective </w:t>
      </w:r>
      <w:proofErr w:type="gramStart"/>
      <w:r w:rsidRPr="00B71B7F">
        <w:rPr>
          <w:rFonts w:ascii="Times New Roman" w:hAnsi="Times New Roman" w:cs="Times New Roman"/>
          <w:bCs/>
          <w:sz w:val="24"/>
          <w:szCs w:val="24"/>
        </w:rPr>
        <w:t>information-sharing</w:t>
      </w:r>
      <w:proofErr w:type="gramEnd"/>
      <w:r w:rsidRPr="00B71B7F">
        <w:rPr>
          <w:rFonts w:ascii="Times New Roman" w:hAnsi="Times New Roman" w:cs="Times New Roman"/>
          <w:bCs/>
          <w:sz w:val="24"/>
          <w:szCs w:val="24"/>
        </w:rPr>
        <w:t xml:space="preserve"> on transfer</w:t>
      </w:r>
      <w:r w:rsidRPr="00B71B7F">
        <w:rPr>
          <w:rFonts w:ascii="Times New Roman" w:hAnsi="Times New Roman" w:cs="Times New Roman"/>
          <w:sz w:val="24"/>
          <w:szCs w:val="24"/>
        </w:rPr>
        <w:t xml:space="preserve"> decisions.</w:t>
      </w:r>
    </w:p>
    <w:p w:rsidR="007F42BA" w:rsidRPr="007F42BA" w:rsidRDefault="00EF4F65" w:rsidP="00B71B7F">
      <w:pPr>
        <w:autoSpaceDE w:val="0"/>
        <w:autoSpaceDN w:val="0"/>
        <w:adjustRightInd w:val="0"/>
        <w:spacing w:after="120" w:line="240" w:lineRule="auto"/>
        <w:jc w:val="both"/>
        <w:rPr>
          <w:rFonts w:ascii="Times New Roman" w:hAnsi="Times New Roman" w:cs="Times New Roman"/>
          <w:color w:val="000000"/>
          <w:sz w:val="24"/>
          <w:szCs w:val="24"/>
        </w:rPr>
      </w:pPr>
      <w:r w:rsidRPr="00B71B7F">
        <w:rPr>
          <w:rFonts w:ascii="Times New Roman" w:hAnsi="Times New Roman" w:cs="Times New Roman"/>
          <w:sz w:val="24"/>
          <w:szCs w:val="24"/>
        </w:rPr>
        <w:t xml:space="preserve">We would like to emphasise the importance of regional contextualisation and the role of regional organisations in incentivising and setting standards in transparency, thereby </w:t>
      </w:r>
      <w:r w:rsidRPr="00B71B7F">
        <w:rPr>
          <w:rFonts w:ascii="Times New Roman" w:hAnsi="Times New Roman" w:cs="Times New Roman"/>
          <w:sz w:val="24"/>
          <w:szCs w:val="24"/>
        </w:rPr>
        <w:lastRenderedPageBreak/>
        <w:t>supplementing the letter and spirit of ATT legal obligations. We encourage States to seek neighbourhood partnerships and peer-to-peer assistance</w:t>
      </w:r>
      <w:r w:rsidR="00D81F54" w:rsidRPr="00B71B7F">
        <w:rPr>
          <w:rFonts w:ascii="Times New Roman" w:hAnsi="Times New Roman" w:cs="Times New Roman"/>
          <w:sz w:val="24"/>
          <w:szCs w:val="24"/>
        </w:rPr>
        <w:t xml:space="preserve">, and in this </w:t>
      </w:r>
      <w:r w:rsidR="00B71B7F" w:rsidRPr="00B71B7F">
        <w:rPr>
          <w:rFonts w:ascii="Times New Roman" w:hAnsi="Times New Roman" w:cs="Times New Roman"/>
          <w:sz w:val="24"/>
          <w:szCs w:val="24"/>
        </w:rPr>
        <w:t>context,</w:t>
      </w:r>
      <w:r w:rsidR="00D81F54" w:rsidRPr="00B71B7F">
        <w:rPr>
          <w:rFonts w:ascii="Times New Roman" w:hAnsi="Times New Roman" w:cs="Times New Roman"/>
          <w:sz w:val="24"/>
          <w:szCs w:val="24"/>
        </w:rPr>
        <w:t xml:space="preserve"> we express appreciation for States Parties that assumed the role of “regional reporting champions”, in line with </w:t>
      </w:r>
      <w:r w:rsidR="00784270" w:rsidRPr="00B71B7F">
        <w:rPr>
          <w:rFonts w:ascii="Times New Roman" w:hAnsi="Times New Roman" w:cs="Times New Roman"/>
          <w:sz w:val="24"/>
          <w:szCs w:val="24"/>
        </w:rPr>
        <w:t xml:space="preserve">the </w:t>
      </w:r>
      <w:r w:rsidR="00D81F54" w:rsidRPr="00B71B7F">
        <w:rPr>
          <w:rFonts w:ascii="Times New Roman" w:hAnsi="Times New Roman" w:cs="Times New Roman"/>
          <w:sz w:val="24"/>
          <w:szCs w:val="24"/>
        </w:rPr>
        <w:t>tasking of CSP9</w:t>
      </w:r>
      <w:r w:rsidRPr="00B71B7F">
        <w:rPr>
          <w:rFonts w:ascii="Times New Roman" w:hAnsi="Times New Roman" w:cs="Times New Roman"/>
          <w:sz w:val="24"/>
          <w:szCs w:val="24"/>
        </w:rPr>
        <w:t xml:space="preserve">. </w:t>
      </w:r>
    </w:p>
    <w:p w:rsidR="007F42BA" w:rsidRPr="007F42BA" w:rsidRDefault="0052601C" w:rsidP="00B71B7F">
      <w:pPr>
        <w:spacing w:after="120" w:line="240" w:lineRule="auto"/>
        <w:jc w:val="both"/>
        <w:rPr>
          <w:rFonts w:ascii="Times New Roman" w:hAnsi="Times New Roman" w:cs="Times New Roman"/>
          <w:bCs/>
          <w:color w:val="000000"/>
          <w:sz w:val="24"/>
          <w:szCs w:val="24"/>
        </w:rPr>
      </w:pPr>
      <w:r w:rsidRPr="00B71B7F">
        <w:rPr>
          <w:rFonts w:ascii="Times New Roman" w:hAnsi="Times New Roman" w:cs="Times New Roman"/>
          <w:sz w:val="24"/>
          <w:szCs w:val="24"/>
        </w:rPr>
        <w:t xml:space="preserve">The EU and its Member States attach great importance to transparency in the arms trade, and thus publish detailed data on </w:t>
      </w:r>
      <w:r w:rsidR="00884DFC">
        <w:rPr>
          <w:rFonts w:ascii="Times New Roman" w:hAnsi="Times New Roman" w:cs="Times New Roman"/>
          <w:sz w:val="24"/>
          <w:szCs w:val="24"/>
        </w:rPr>
        <w:t>their</w:t>
      </w:r>
      <w:r w:rsidR="00D81F54" w:rsidRPr="00B71B7F">
        <w:rPr>
          <w:rFonts w:ascii="Times New Roman" w:hAnsi="Times New Roman" w:cs="Times New Roman"/>
          <w:sz w:val="24"/>
          <w:szCs w:val="24"/>
        </w:rPr>
        <w:t xml:space="preserve"> </w:t>
      </w:r>
      <w:r w:rsidRPr="00B71B7F">
        <w:rPr>
          <w:rFonts w:ascii="Times New Roman" w:hAnsi="Times New Roman" w:cs="Times New Roman"/>
          <w:sz w:val="24"/>
          <w:szCs w:val="24"/>
        </w:rPr>
        <w:t>arms exports every year. The 25</w:t>
      </w:r>
      <w:r w:rsidRPr="00B71B7F">
        <w:rPr>
          <w:rFonts w:ascii="Times New Roman" w:hAnsi="Times New Roman" w:cs="Times New Roman"/>
          <w:sz w:val="24"/>
          <w:szCs w:val="24"/>
          <w:vertAlign w:val="superscript"/>
        </w:rPr>
        <w:t>th</w:t>
      </w:r>
      <w:r w:rsidRPr="00B71B7F">
        <w:rPr>
          <w:rFonts w:ascii="Times New Roman" w:hAnsi="Times New Roman" w:cs="Times New Roman"/>
          <w:sz w:val="24"/>
          <w:szCs w:val="24"/>
        </w:rPr>
        <w:t xml:space="preserve"> EU Annual Report on exports of military technology and equipment in the year 2022 </w:t>
      </w:r>
      <w:proofErr w:type="gramStart"/>
      <w:r w:rsidRPr="00B71B7F">
        <w:rPr>
          <w:rFonts w:ascii="Times New Roman" w:hAnsi="Times New Roman" w:cs="Times New Roman"/>
          <w:sz w:val="24"/>
          <w:szCs w:val="24"/>
        </w:rPr>
        <w:t>was released</w:t>
      </w:r>
      <w:proofErr w:type="gramEnd"/>
      <w:r w:rsidRPr="00B71B7F">
        <w:rPr>
          <w:rFonts w:ascii="Times New Roman" w:hAnsi="Times New Roman" w:cs="Times New Roman"/>
          <w:sz w:val="24"/>
          <w:szCs w:val="24"/>
        </w:rPr>
        <w:t xml:space="preserve"> in December 2023 and is publicly available in a searchable online database on the website of the European External Action Service. This database has been of great benefit to all stakeholders, enhancing transparency. We encourage other regional and national bodies to implement similar systems. The EU annual report displays the number and value of authori</w:t>
      </w:r>
      <w:r w:rsidR="000C68F2" w:rsidRPr="00B71B7F">
        <w:rPr>
          <w:rFonts w:ascii="Times New Roman" w:hAnsi="Times New Roman" w:cs="Times New Roman"/>
          <w:sz w:val="24"/>
          <w:szCs w:val="24"/>
        </w:rPr>
        <w:t>s</w:t>
      </w:r>
      <w:r w:rsidRPr="00B71B7F">
        <w:rPr>
          <w:rFonts w:ascii="Times New Roman" w:hAnsi="Times New Roman" w:cs="Times New Roman"/>
          <w:sz w:val="24"/>
          <w:szCs w:val="24"/>
        </w:rPr>
        <w:t>ed exports for a</w:t>
      </w:r>
      <w:bookmarkStart w:id="0" w:name="_GoBack"/>
      <w:bookmarkEnd w:id="0"/>
      <w:r w:rsidRPr="00B71B7F">
        <w:rPr>
          <w:rFonts w:ascii="Times New Roman" w:hAnsi="Times New Roman" w:cs="Times New Roman"/>
          <w:sz w:val="24"/>
          <w:szCs w:val="24"/>
        </w:rPr>
        <w:t>ll destination countries, the type of military technology involved as per EU Common Military List mirroring the Wassenaar Arrangement Munitions List, and the number of denials per type of military technology and destination c</w:t>
      </w:r>
      <w:r w:rsidR="00120C7A" w:rsidRPr="00B71B7F">
        <w:rPr>
          <w:rFonts w:ascii="Times New Roman" w:hAnsi="Times New Roman" w:cs="Times New Roman"/>
          <w:sz w:val="24"/>
          <w:szCs w:val="24"/>
        </w:rPr>
        <w:t>ountry, as well as the criteria</w:t>
      </w:r>
      <w:r w:rsidRPr="00B71B7F">
        <w:rPr>
          <w:rFonts w:ascii="Times New Roman" w:hAnsi="Times New Roman" w:cs="Times New Roman"/>
          <w:sz w:val="24"/>
          <w:szCs w:val="24"/>
        </w:rPr>
        <w:t xml:space="preserve"> invoked as the reason </w:t>
      </w:r>
      <w:proofErr w:type="gramStart"/>
      <w:r w:rsidRPr="00B71B7F">
        <w:rPr>
          <w:rFonts w:ascii="Times New Roman" w:hAnsi="Times New Roman" w:cs="Times New Roman"/>
          <w:sz w:val="24"/>
          <w:szCs w:val="24"/>
        </w:rPr>
        <w:t>for  denial</w:t>
      </w:r>
      <w:proofErr w:type="gramEnd"/>
      <w:r w:rsidRPr="00B71B7F">
        <w:rPr>
          <w:rFonts w:ascii="Times New Roman" w:hAnsi="Times New Roman" w:cs="Times New Roman"/>
          <w:sz w:val="24"/>
          <w:szCs w:val="24"/>
        </w:rPr>
        <w:t xml:space="preserve">. The EU annual report for the year 2023 is being finalised and will become public shortly. </w:t>
      </w:r>
      <w:proofErr w:type="gramStart"/>
      <w:r w:rsidR="00E21EFC" w:rsidRPr="00B71B7F">
        <w:rPr>
          <w:rFonts w:ascii="Times New Roman" w:hAnsi="Times New Roman" w:cs="Times New Roman"/>
          <w:bCs/>
          <w:sz w:val="24"/>
          <w:szCs w:val="24"/>
          <w:lang w:val="en-US"/>
        </w:rPr>
        <w:t xml:space="preserve">The EU would like to </w:t>
      </w:r>
      <w:proofErr w:type="spellStart"/>
      <w:r w:rsidR="00E21EFC" w:rsidRPr="00B71B7F">
        <w:rPr>
          <w:rFonts w:ascii="Times New Roman" w:hAnsi="Times New Roman" w:cs="Times New Roman"/>
          <w:bCs/>
          <w:sz w:val="24"/>
          <w:szCs w:val="24"/>
          <w:lang w:val="en-US"/>
        </w:rPr>
        <w:t>emphasi</w:t>
      </w:r>
      <w:r w:rsidR="000C68F2" w:rsidRPr="00B71B7F">
        <w:rPr>
          <w:rFonts w:ascii="Times New Roman" w:hAnsi="Times New Roman" w:cs="Times New Roman"/>
          <w:bCs/>
          <w:sz w:val="24"/>
          <w:szCs w:val="24"/>
          <w:lang w:val="en-US"/>
        </w:rPr>
        <w:t>s</w:t>
      </w:r>
      <w:r w:rsidR="00E21EFC" w:rsidRPr="00B71B7F">
        <w:rPr>
          <w:rFonts w:ascii="Times New Roman" w:hAnsi="Times New Roman" w:cs="Times New Roman"/>
          <w:bCs/>
          <w:sz w:val="24"/>
          <w:szCs w:val="24"/>
          <w:lang w:val="en-US"/>
        </w:rPr>
        <w:t>e</w:t>
      </w:r>
      <w:proofErr w:type="spellEnd"/>
      <w:r w:rsidR="00E21EFC" w:rsidRPr="00B71B7F">
        <w:rPr>
          <w:rFonts w:ascii="Times New Roman" w:hAnsi="Times New Roman" w:cs="Times New Roman"/>
          <w:bCs/>
          <w:sz w:val="24"/>
          <w:szCs w:val="24"/>
          <w:lang w:val="en-US"/>
        </w:rPr>
        <w:t xml:space="preserve"> that</w:t>
      </w:r>
      <w:r w:rsidR="00D81F54" w:rsidRPr="00B71B7F">
        <w:rPr>
          <w:rFonts w:ascii="Times New Roman" w:hAnsi="Times New Roman" w:cs="Times New Roman"/>
          <w:bCs/>
          <w:sz w:val="24"/>
          <w:szCs w:val="24"/>
          <w:lang w:val="en-US"/>
        </w:rPr>
        <w:t>, similarly to reporting for the year 2022,</w:t>
      </w:r>
      <w:r w:rsidRPr="00B71B7F">
        <w:rPr>
          <w:rFonts w:ascii="Times New Roman" w:hAnsi="Times New Roman" w:cs="Times New Roman"/>
          <w:bCs/>
          <w:sz w:val="24"/>
          <w:szCs w:val="24"/>
          <w:lang w:val="en-US"/>
        </w:rPr>
        <w:t xml:space="preserve"> </w:t>
      </w:r>
      <w:r w:rsidR="00E21EFC" w:rsidRPr="00B71B7F">
        <w:rPr>
          <w:rFonts w:ascii="Times New Roman" w:hAnsi="Times New Roman" w:cs="Times New Roman"/>
          <w:bCs/>
          <w:sz w:val="24"/>
          <w:szCs w:val="24"/>
          <w:lang w:val="en-US"/>
        </w:rPr>
        <w:t xml:space="preserve">it </w:t>
      </w:r>
      <w:r w:rsidRPr="00B71B7F">
        <w:rPr>
          <w:rFonts w:ascii="Times New Roman" w:hAnsi="Times New Roman" w:cs="Times New Roman"/>
          <w:bCs/>
          <w:sz w:val="24"/>
          <w:szCs w:val="24"/>
          <w:lang w:val="en-US"/>
        </w:rPr>
        <w:t>is aware of considerations regarding national security that could pose challenges to transparency of legitimate transfers of arms and amm</w:t>
      </w:r>
      <w:r w:rsidR="006D3DDA" w:rsidRPr="00B71B7F">
        <w:rPr>
          <w:rFonts w:ascii="Times New Roman" w:hAnsi="Times New Roman" w:cs="Times New Roman"/>
          <w:bCs/>
          <w:sz w:val="24"/>
          <w:szCs w:val="24"/>
          <w:lang w:val="en-US"/>
        </w:rPr>
        <w:t xml:space="preserve">unition from EU </w:t>
      </w:r>
      <w:r w:rsidRPr="00B71B7F">
        <w:rPr>
          <w:rFonts w:ascii="Times New Roman" w:hAnsi="Times New Roman" w:cs="Times New Roman"/>
          <w:bCs/>
          <w:color w:val="000000"/>
          <w:sz w:val="24"/>
          <w:szCs w:val="24"/>
          <w:lang w:val="en-US"/>
        </w:rPr>
        <w:t xml:space="preserve">Member States under the European Peace Facility to Ukraine, which aim to help Ukraine exercise its inherent right of </w:t>
      </w:r>
      <w:proofErr w:type="spellStart"/>
      <w:r w:rsidRPr="00B71B7F">
        <w:rPr>
          <w:rFonts w:ascii="Times New Roman" w:hAnsi="Times New Roman" w:cs="Times New Roman"/>
          <w:bCs/>
          <w:color w:val="000000"/>
          <w:sz w:val="24"/>
          <w:szCs w:val="24"/>
          <w:lang w:val="en-US"/>
        </w:rPr>
        <w:t>self-defence</w:t>
      </w:r>
      <w:proofErr w:type="spellEnd"/>
      <w:r w:rsidRPr="00B71B7F">
        <w:rPr>
          <w:rFonts w:ascii="Times New Roman" w:hAnsi="Times New Roman" w:cs="Times New Roman"/>
          <w:bCs/>
          <w:color w:val="000000"/>
          <w:sz w:val="24"/>
          <w:szCs w:val="24"/>
          <w:lang w:val="en-US"/>
        </w:rPr>
        <w:t xml:space="preserve"> under Article 51 of the UN Charter.</w:t>
      </w:r>
      <w:proofErr w:type="gramEnd"/>
      <w:r w:rsidRPr="00B71B7F">
        <w:rPr>
          <w:rFonts w:ascii="Times New Roman" w:hAnsi="Times New Roman" w:cs="Times New Roman"/>
          <w:bCs/>
          <w:color w:val="000000"/>
          <w:sz w:val="24"/>
          <w:szCs w:val="24"/>
          <w:lang w:val="en-US"/>
        </w:rPr>
        <w:t xml:space="preserve"> </w:t>
      </w:r>
      <w:r w:rsidR="006D3DDA" w:rsidRPr="00B71B7F">
        <w:rPr>
          <w:rFonts w:ascii="Times New Roman" w:hAnsi="Times New Roman" w:cs="Times New Roman"/>
          <w:bCs/>
          <w:sz w:val="24"/>
          <w:szCs w:val="24"/>
        </w:rPr>
        <w:t>Those transfers remain</w:t>
      </w:r>
      <w:r w:rsidRPr="00B71B7F">
        <w:rPr>
          <w:rFonts w:ascii="Times New Roman" w:hAnsi="Times New Roman" w:cs="Times New Roman"/>
          <w:bCs/>
          <w:sz w:val="24"/>
          <w:szCs w:val="24"/>
        </w:rPr>
        <w:t xml:space="preserve"> fully in line with the legal obligations </w:t>
      </w:r>
      <w:r w:rsidR="006D3DDA" w:rsidRPr="00B71B7F">
        <w:rPr>
          <w:rFonts w:ascii="Times New Roman" w:hAnsi="Times New Roman" w:cs="Times New Roman"/>
          <w:bCs/>
          <w:sz w:val="24"/>
          <w:szCs w:val="24"/>
        </w:rPr>
        <w:t xml:space="preserve">of EU Member States </w:t>
      </w:r>
      <w:r w:rsidRPr="00B71B7F">
        <w:rPr>
          <w:rFonts w:ascii="Times New Roman" w:hAnsi="Times New Roman" w:cs="Times New Roman"/>
          <w:bCs/>
          <w:sz w:val="24"/>
          <w:szCs w:val="24"/>
        </w:rPr>
        <w:t>stemming from the EU Common Position 2008/944/CFSP on arms export and with obligations under the Arms Trade Treaty, as well as with the Wassenaar Arrangement Initial Elements.</w:t>
      </w:r>
    </w:p>
    <w:p w:rsidR="006D3DDA" w:rsidRPr="00143FC1" w:rsidRDefault="00D949CB" w:rsidP="00B71B7F">
      <w:pPr>
        <w:pStyle w:val="Default"/>
        <w:spacing w:after="120"/>
        <w:jc w:val="both"/>
      </w:pPr>
      <w:r w:rsidRPr="00143FC1">
        <w:t xml:space="preserve">The EU thanks </w:t>
      </w:r>
      <w:r w:rsidR="00143FC1" w:rsidRPr="00143FC1">
        <w:t xml:space="preserve">Mr. </w:t>
      </w:r>
      <w:proofErr w:type="spellStart"/>
      <w:r w:rsidR="00143FC1" w:rsidRPr="00143FC1">
        <w:t>Akifumi</w:t>
      </w:r>
      <w:proofErr w:type="spellEnd"/>
      <w:r w:rsidR="00143FC1" w:rsidRPr="00143FC1">
        <w:t xml:space="preserve"> F</w:t>
      </w:r>
      <w:r w:rsidR="00BE7EA7">
        <w:t>ukuoka</w:t>
      </w:r>
      <w:r w:rsidR="00143FC1" w:rsidRPr="00143FC1">
        <w:t xml:space="preserve"> of Japan </w:t>
      </w:r>
      <w:r w:rsidRPr="00143FC1">
        <w:rPr>
          <w:bCs/>
        </w:rPr>
        <w:t xml:space="preserve">for assuming </w:t>
      </w:r>
      <w:proofErr w:type="gramStart"/>
      <w:r w:rsidR="00143FC1" w:rsidRPr="00143FC1">
        <w:rPr>
          <w:bCs/>
        </w:rPr>
        <w:t>chairmanship</w:t>
      </w:r>
      <w:proofErr w:type="gramEnd"/>
      <w:r w:rsidR="009F3B74" w:rsidRPr="00143FC1">
        <w:rPr>
          <w:bCs/>
        </w:rPr>
        <w:t xml:space="preserve"> for the</w:t>
      </w:r>
      <w:r w:rsidR="009F3B74" w:rsidRPr="00143FC1">
        <w:rPr>
          <w:b/>
          <w:bCs/>
        </w:rPr>
        <w:t xml:space="preserve"> </w:t>
      </w:r>
      <w:r w:rsidR="00CD288B" w:rsidRPr="00143FC1">
        <w:rPr>
          <w:bCs/>
        </w:rPr>
        <w:t>Working G</w:t>
      </w:r>
      <w:r w:rsidRPr="00143FC1">
        <w:rPr>
          <w:bCs/>
        </w:rPr>
        <w:t>r</w:t>
      </w:r>
      <w:r w:rsidR="00CD288B" w:rsidRPr="00143FC1">
        <w:rPr>
          <w:bCs/>
        </w:rPr>
        <w:t>o</w:t>
      </w:r>
      <w:r w:rsidRPr="00143FC1">
        <w:rPr>
          <w:bCs/>
        </w:rPr>
        <w:t>u</w:t>
      </w:r>
      <w:r w:rsidR="00CF16F1" w:rsidRPr="00143FC1">
        <w:rPr>
          <w:bCs/>
        </w:rPr>
        <w:t>p on Transparency and Reporting, welcomes the Group’s recommendations</w:t>
      </w:r>
      <w:r w:rsidR="006D3DDA" w:rsidRPr="00143FC1">
        <w:rPr>
          <w:bCs/>
        </w:rPr>
        <w:t>, including the multi-year work plan and the mandate for CSP11 working cycle,</w:t>
      </w:r>
      <w:r w:rsidR="00CF16F1" w:rsidRPr="00143FC1">
        <w:rPr>
          <w:bCs/>
        </w:rPr>
        <w:t xml:space="preserve"> and encourages the </w:t>
      </w:r>
      <w:proofErr w:type="spellStart"/>
      <w:r w:rsidR="006D3DDA" w:rsidRPr="00143FC1">
        <w:rPr>
          <w:bCs/>
        </w:rPr>
        <w:t>CSP</w:t>
      </w:r>
      <w:proofErr w:type="spellEnd"/>
      <w:r w:rsidR="00CF16F1" w:rsidRPr="00143FC1">
        <w:rPr>
          <w:bCs/>
        </w:rPr>
        <w:t xml:space="preserve"> to endorse them. </w:t>
      </w:r>
    </w:p>
    <w:p w:rsidR="00E21EFC" w:rsidRPr="00143FC1" w:rsidRDefault="00E21EFC" w:rsidP="00143FC1">
      <w:pPr>
        <w:spacing w:after="120" w:line="240" w:lineRule="auto"/>
        <w:jc w:val="both"/>
        <w:rPr>
          <w:rFonts w:ascii="Times New Roman" w:hAnsi="Times New Roman" w:cs="Times New Roman"/>
          <w:bCs/>
          <w:sz w:val="24"/>
          <w:szCs w:val="24"/>
        </w:rPr>
      </w:pPr>
      <w:r w:rsidRPr="00143FC1">
        <w:rPr>
          <w:rFonts w:ascii="Times New Roman" w:hAnsi="Times New Roman" w:cs="Times New Roman"/>
          <w:bCs/>
          <w:sz w:val="24"/>
          <w:szCs w:val="24"/>
        </w:rPr>
        <w:t>Thank you, Mr. President.</w:t>
      </w:r>
    </w:p>
    <w:p w:rsidR="006D3DDA" w:rsidRDefault="006D3DDA" w:rsidP="00E4335C">
      <w:pPr>
        <w:spacing w:after="120" w:line="360" w:lineRule="auto"/>
        <w:jc w:val="both"/>
        <w:rPr>
          <w:rFonts w:ascii="Times New Roman" w:hAnsi="Times New Roman" w:cs="Times New Roman"/>
          <w:bCs/>
          <w:sz w:val="24"/>
          <w:szCs w:val="24"/>
        </w:rPr>
      </w:pPr>
    </w:p>
    <w:p w:rsidR="006D3DDA" w:rsidRDefault="006D3DDA" w:rsidP="00E4335C">
      <w:pPr>
        <w:spacing w:after="120" w:line="360" w:lineRule="auto"/>
        <w:jc w:val="both"/>
        <w:rPr>
          <w:rFonts w:ascii="Times New Roman" w:hAnsi="Times New Roman" w:cs="Times New Roman"/>
          <w:bCs/>
          <w:sz w:val="24"/>
          <w:szCs w:val="24"/>
        </w:rPr>
      </w:pPr>
    </w:p>
    <w:p w:rsidR="002E67D7" w:rsidRPr="00047C02" w:rsidRDefault="002E67D7" w:rsidP="00047C02">
      <w:pPr>
        <w:spacing w:after="120" w:line="360" w:lineRule="auto"/>
        <w:jc w:val="both"/>
        <w:rPr>
          <w:rFonts w:ascii="Times New Roman" w:hAnsi="Times New Roman" w:cs="Times New Roman"/>
          <w:sz w:val="24"/>
          <w:szCs w:val="24"/>
        </w:rPr>
      </w:pPr>
    </w:p>
    <w:sectPr w:rsidR="002E67D7" w:rsidRPr="00047C0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A72" w:rsidRDefault="00582A72" w:rsidP="0001655D">
      <w:pPr>
        <w:spacing w:after="0" w:line="240" w:lineRule="auto"/>
      </w:pPr>
      <w:r>
        <w:separator/>
      </w:r>
    </w:p>
  </w:endnote>
  <w:endnote w:type="continuationSeparator" w:id="0">
    <w:p w:rsidR="00582A72" w:rsidRDefault="00582A72" w:rsidP="0001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364888"/>
      <w:docPartObj>
        <w:docPartGallery w:val="Page Numbers (Bottom of Page)"/>
        <w:docPartUnique/>
      </w:docPartObj>
    </w:sdtPr>
    <w:sdtEndPr>
      <w:rPr>
        <w:rFonts w:ascii="Times New Roman" w:hAnsi="Times New Roman" w:cs="Times New Roman"/>
        <w:noProof/>
      </w:rPr>
    </w:sdtEndPr>
    <w:sdtContent>
      <w:p w:rsidR="0001655D" w:rsidRPr="00470C8C" w:rsidRDefault="0001655D">
        <w:pPr>
          <w:pStyle w:val="Footer"/>
          <w:jc w:val="right"/>
          <w:rPr>
            <w:rFonts w:ascii="Times New Roman" w:hAnsi="Times New Roman" w:cs="Times New Roman"/>
          </w:rPr>
        </w:pPr>
        <w:r w:rsidRPr="00470C8C">
          <w:rPr>
            <w:rFonts w:ascii="Times New Roman" w:hAnsi="Times New Roman" w:cs="Times New Roman"/>
          </w:rPr>
          <w:fldChar w:fldCharType="begin"/>
        </w:r>
        <w:r w:rsidRPr="00470C8C">
          <w:rPr>
            <w:rFonts w:ascii="Times New Roman" w:hAnsi="Times New Roman" w:cs="Times New Roman"/>
          </w:rPr>
          <w:instrText xml:space="preserve"> PAGE   \* MERGEFORMAT </w:instrText>
        </w:r>
        <w:r w:rsidRPr="00470C8C">
          <w:rPr>
            <w:rFonts w:ascii="Times New Roman" w:hAnsi="Times New Roman" w:cs="Times New Roman"/>
          </w:rPr>
          <w:fldChar w:fldCharType="separate"/>
        </w:r>
        <w:r w:rsidR="000E6402">
          <w:rPr>
            <w:rFonts w:ascii="Times New Roman" w:hAnsi="Times New Roman" w:cs="Times New Roman"/>
            <w:noProof/>
          </w:rPr>
          <w:t>2</w:t>
        </w:r>
        <w:r w:rsidRPr="00470C8C">
          <w:rPr>
            <w:rFonts w:ascii="Times New Roman" w:hAnsi="Times New Roman" w:cs="Times New Roman"/>
            <w:noProof/>
          </w:rPr>
          <w:fldChar w:fldCharType="end"/>
        </w:r>
      </w:p>
    </w:sdtContent>
  </w:sdt>
  <w:p w:rsidR="0001655D" w:rsidRDefault="00016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A72" w:rsidRDefault="00582A72" w:rsidP="0001655D">
      <w:pPr>
        <w:spacing w:after="0" w:line="240" w:lineRule="auto"/>
      </w:pPr>
      <w:r>
        <w:separator/>
      </w:r>
    </w:p>
  </w:footnote>
  <w:footnote w:type="continuationSeparator" w:id="0">
    <w:p w:rsidR="00582A72" w:rsidRDefault="00582A72" w:rsidP="0001655D">
      <w:pPr>
        <w:spacing w:after="0" w:line="240" w:lineRule="auto"/>
      </w:pPr>
      <w:r>
        <w:continuationSeparator/>
      </w:r>
    </w:p>
  </w:footnote>
  <w:footnote w:id="1">
    <w:p w:rsidR="00E33EFD" w:rsidRPr="00247E68" w:rsidRDefault="00E33EFD" w:rsidP="00E33EFD">
      <w:pPr>
        <w:pStyle w:val="FootnoteText"/>
        <w:rPr>
          <w:rFonts w:ascii="Times New Roman" w:hAnsi="Times New Roman" w:cs="Times New Roman"/>
          <w:lang w:val="en-GB"/>
        </w:rPr>
      </w:pPr>
      <w:r w:rsidRPr="00247E68">
        <w:rPr>
          <w:rStyle w:val="FootnoteReference"/>
          <w:rFonts w:ascii="Times New Roman" w:hAnsi="Times New Roman" w:cs="Times New Roman"/>
        </w:rPr>
        <w:footnoteRef/>
      </w:r>
      <w:r w:rsidRPr="00247E68">
        <w:rPr>
          <w:rFonts w:ascii="Times New Roman" w:hAnsi="Times New Roman" w:cs="Times New Roman"/>
          <w:lang w:val="en-GB"/>
        </w:rPr>
        <w:t xml:space="preserve"> </w:t>
      </w:r>
      <w:r>
        <w:rPr>
          <w:rStyle w:val="Strong"/>
          <w:rFonts w:ascii="Times New Roman" w:hAnsi="Times New Roman" w:cs="Times New Roman"/>
          <w:b w:val="0"/>
          <w:szCs w:val="22"/>
          <w:lang w:val="en-GB"/>
        </w:rPr>
        <w:t xml:space="preserve">North Macedonia, Montenegro and </w:t>
      </w:r>
      <w:r w:rsidRPr="00922558">
        <w:rPr>
          <w:rStyle w:val="Strong"/>
          <w:rFonts w:ascii="Times New Roman" w:hAnsi="Times New Roman" w:cs="Times New Roman"/>
          <w:b w:val="0"/>
          <w:szCs w:val="22"/>
          <w:lang w:val="en-GB"/>
        </w:rPr>
        <w:t xml:space="preserve">Albania </w:t>
      </w:r>
      <w:r w:rsidRPr="00247E68">
        <w:rPr>
          <w:rStyle w:val="Strong"/>
          <w:rFonts w:ascii="Times New Roman" w:hAnsi="Times New Roman" w:cs="Times New Roman"/>
          <w:b w:val="0"/>
          <w:szCs w:val="22"/>
          <w:lang w:val="en-GB"/>
        </w:rPr>
        <w:t>continue to be part of the Stabilisation and Association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3FB1"/>
    <w:multiLevelType w:val="hybridMultilevel"/>
    <w:tmpl w:val="DCE24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F01DA2"/>
    <w:multiLevelType w:val="hybridMultilevel"/>
    <w:tmpl w:val="E8C2D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0E22D0"/>
    <w:multiLevelType w:val="hybridMultilevel"/>
    <w:tmpl w:val="F9DE7AFA"/>
    <w:lvl w:ilvl="0" w:tplc="B504DC66">
      <w:start w:val="2022"/>
      <w:numFmt w:val="bullet"/>
      <w:lvlText w:val="-"/>
      <w:lvlJc w:val="left"/>
      <w:pPr>
        <w:ind w:left="360" w:hanging="360"/>
      </w:pPr>
      <w:rPr>
        <w:rFonts w:ascii="Calibri-Bold" w:eastAsiaTheme="minorHAnsi" w:hAnsi="Calibri-Bold" w:cs="Calibri-Bold"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566EC"/>
    <w:rsid w:val="0001655D"/>
    <w:rsid w:val="00047C02"/>
    <w:rsid w:val="00062EF8"/>
    <w:rsid w:val="00063E5D"/>
    <w:rsid w:val="00067C0C"/>
    <w:rsid w:val="000827AB"/>
    <w:rsid w:val="000C68F2"/>
    <w:rsid w:val="000E6402"/>
    <w:rsid w:val="000F7A46"/>
    <w:rsid w:val="0010565C"/>
    <w:rsid w:val="00120C7A"/>
    <w:rsid w:val="0013468E"/>
    <w:rsid w:val="001436D6"/>
    <w:rsid w:val="00143FC1"/>
    <w:rsid w:val="00155535"/>
    <w:rsid w:val="001D0BBB"/>
    <w:rsid w:val="001E0AB9"/>
    <w:rsid w:val="001F3EB9"/>
    <w:rsid w:val="00237607"/>
    <w:rsid w:val="0024209F"/>
    <w:rsid w:val="002772EE"/>
    <w:rsid w:val="002E67D7"/>
    <w:rsid w:val="00301ECE"/>
    <w:rsid w:val="00331315"/>
    <w:rsid w:val="00381D96"/>
    <w:rsid w:val="003B7ECD"/>
    <w:rsid w:val="003E22EB"/>
    <w:rsid w:val="0041349C"/>
    <w:rsid w:val="00457773"/>
    <w:rsid w:val="00467A89"/>
    <w:rsid w:val="00470C8C"/>
    <w:rsid w:val="004908C0"/>
    <w:rsid w:val="00491FFA"/>
    <w:rsid w:val="004A45E4"/>
    <w:rsid w:val="004F20EC"/>
    <w:rsid w:val="004F5767"/>
    <w:rsid w:val="00505C2E"/>
    <w:rsid w:val="0052601C"/>
    <w:rsid w:val="00545B7C"/>
    <w:rsid w:val="00582A72"/>
    <w:rsid w:val="005B5C03"/>
    <w:rsid w:val="005D747D"/>
    <w:rsid w:val="005E5C31"/>
    <w:rsid w:val="006574FB"/>
    <w:rsid w:val="00682E33"/>
    <w:rsid w:val="00683554"/>
    <w:rsid w:val="006D3DDA"/>
    <w:rsid w:val="007119CF"/>
    <w:rsid w:val="00712585"/>
    <w:rsid w:val="0071529F"/>
    <w:rsid w:val="0073047D"/>
    <w:rsid w:val="00730FD7"/>
    <w:rsid w:val="00784270"/>
    <w:rsid w:val="007A0207"/>
    <w:rsid w:val="007A1A31"/>
    <w:rsid w:val="007E2D97"/>
    <w:rsid w:val="007F42BA"/>
    <w:rsid w:val="00806425"/>
    <w:rsid w:val="008329EC"/>
    <w:rsid w:val="008478F8"/>
    <w:rsid w:val="008677E2"/>
    <w:rsid w:val="00875589"/>
    <w:rsid w:val="00884DFC"/>
    <w:rsid w:val="008B3346"/>
    <w:rsid w:val="008E5478"/>
    <w:rsid w:val="00905845"/>
    <w:rsid w:val="00922558"/>
    <w:rsid w:val="0092405C"/>
    <w:rsid w:val="009464A4"/>
    <w:rsid w:val="009A68F7"/>
    <w:rsid w:val="009F3B74"/>
    <w:rsid w:val="00A566EC"/>
    <w:rsid w:val="00A92436"/>
    <w:rsid w:val="00AA3767"/>
    <w:rsid w:val="00AB48BB"/>
    <w:rsid w:val="00AE0422"/>
    <w:rsid w:val="00AE16DD"/>
    <w:rsid w:val="00B71B7F"/>
    <w:rsid w:val="00BE7EA7"/>
    <w:rsid w:val="00C274D1"/>
    <w:rsid w:val="00C37683"/>
    <w:rsid w:val="00C54B5E"/>
    <w:rsid w:val="00C60C68"/>
    <w:rsid w:val="00C70102"/>
    <w:rsid w:val="00CD288B"/>
    <w:rsid w:val="00CF16F1"/>
    <w:rsid w:val="00D11000"/>
    <w:rsid w:val="00D81F54"/>
    <w:rsid w:val="00D949CB"/>
    <w:rsid w:val="00DA11A6"/>
    <w:rsid w:val="00DE05B4"/>
    <w:rsid w:val="00DF01E4"/>
    <w:rsid w:val="00DF24C4"/>
    <w:rsid w:val="00E21EFC"/>
    <w:rsid w:val="00E33EFD"/>
    <w:rsid w:val="00E4335C"/>
    <w:rsid w:val="00E47D0F"/>
    <w:rsid w:val="00E56F3D"/>
    <w:rsid w:val="00E81210"/>
    <w:rsid w:val="00E97EB6"/>
    <w:rsid w:val="00EB00C1"/>
    <w:rsid w:val="00EB4C27"/>
    <w:rsid w:val="00EB6216"/>
    <w:rsid w:val="00EF4F65"/>
    <w:rsid w:val="00F11AC9"/>
    <w:rsid w:val="00F6189C"/>
    <w:rsid w:val="00F7396E"/>
    <w:rsid w:val="00F91EEE"/>
    <w:rsid w:val="00FC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7DBF"/>
  <w15:chartTrackingRefBased/>
  <w15:docId w15:val="{11249B66-043A-4FED-975A-D0724EF7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6EC"/>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683"/>
    <w:pPr>
      <w:ind w:left="720"/>
      <w:contextualSpacing/>
    </w:pPr>
    <w:rPr>
      <w:lang w:val="en-GB"/>
    </w:rPr>
  </w:style>
  <w:style w:type="paragraph" w:customStyle="1" w:styleId="Default">
    <w:name w:val="Default"/>
    <w:rsid w:val="00DF24C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16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55D"/>
    <w:rPr>
      <w:lang w:val="en-IE"/>
    </w:rPr>
  </w:style>
  <w:style w:type="paragraph" w:styleId="Footer">
    <w:name w:val="footer"/>
    <w:basedOn w:val="Normal"/>
    <w:link w:val="FooterChar"/>
    <w:uiPriority w:val="99"/>
    <w:unhideWhenUsed/>
    <w:rsid w:val="00016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55D"/>
    <w:rPr>
      <w:lang w:val="en-IE"/>
    </w:rPr>
  </w:style>
  <w:style w:type="paragraph" w:styleId="FootnoteText">
    <w:name w:val="footnote text"/>
    <w:basedOn w:val="Normal"/>
    <w:link w:val="FootnoteTextChar"/>
    <w:semiHidden/>
    <w:unhideWhenUsed/>
    <w:rsid w:val="009F3B74"/>
    <w:pPr>
      <w:spacing w:after="0" w:line="240" w:lineRule="auto"/>
    </w:pPr>
    <w:rPr>
      <w:sz w:val="20"/>
      <w:szCs w:val="20"/>
    </w:rPr>
  </w:style>
  <w:style w:type="character" w:customStyle="1" w:styleId="FootnoteTextChar">
    <w:name w:val="Footnote Text Char"/>
    <w:basedOn w:val="DefaultParagraphFont"/>
    <w:link w:val="FootnoteText"/>
    <w:semiHidden/>
    <w:rsid w:val="009F3B74"/>
    <w:rPr>
      <w:sz w:val="20"/>
      <w:szCs w:val="20"/>
      <w:lang w:val="en-IE"/>
    </w:rPr>
  </w:style>
  <w:style w:type="character" w:styleId="FootnoteReference">
    <w:name w:val="footnote reference"/>
    <w:basedOn w:val="DefaultParagraphFont"/>
    <w:semiHidden/>
    <w:unhideWhenUsed/>
    <w:rsid w:val="009F3B74"/>
    <w:rPr>
      <w:vertAlign w:val="superscript"/>
    </w:rPr>
  </w:style>
  <w:style w:type="character" w:styleId="Strong">
    <w:name w:val="Strong"/>
    <w:uiPriority w:val="22"/>
    <w:qFormat/>
    <w:rsid w:val="00381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1097-52C8-4946-95B1-9FCEF829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NAGAN Eran (EEAS)</dc:creator>
  <cp:keywords/>
  <dc:description/>
  <cp:lastModifiedBy>KROLAK Natalia (EEAS-GENEVA)</cp:lastModifiedBy>
  <cp:revision>7</cp:revision>
  <dcterms:created xsi:type="dcterms:W3CDTF">2024-08-16T09:50:00Z</dcterms:created>
  <dcterms:modified xsi:type="dcterms:W3CDTF">2024-08-21T10:28:00Z</dcterms:modified>
</cp:coreProperties>
</file>